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7F10A6">
      <w:pPr>
        <w:spacing w:after="40" w:line="288" w:lineRule="auto"/>
        <w:jc w:val="center"/>
        <w:rPr>
          <w:b/>
          <w:bCs/>
          <w:sz w:val="28"/>
          <w:szCs w:val="28"/>
        </w:rPr>
      </w:pPr>
      <w:bookmarkStart w:id="0" w:name="_GoBack"/>
      <w:bookmarkEnd w:id="0"/>
      <w:r>
        <w:rPr>
          <w:b/>
          <w:bCs/>
          <w:sz w:val="28"/>
          <w:szCs w:val="28"/>
        </w:rPr>
        <w:t xml:space="preserve">PHIẾU LẤY Ý KIẾN:  </w:t>
      </w:r>
    </w:p>
    <w:p w14:paraId="4BAE863F">
      <w:pPr>
        <w:spacing w:after="40" w:line="288" w:lineRule="auto"/>
        <w:jc w:val="center"/>
        <w:rPr>
          <w:b/>
          <w:bCs/>
          <w:sz w:val="24"/>
          <w:szCs w:val="24"/>
        </w:rPr>
      </w:pPr>
      <w:r>
        <w:rPr>
          <w:b/>
          <w:bCs/>
        </w:rPr>
        <w:t>BÀI TOÁN SỐ 8</w:t>
      </w:r>
      <w:r>
        <w:t xml:space="preserve"> </w:t>
      </w:r>
      <w:r>
        <w:rPr>
          <w:b/>
          <w:bCs/>
          <w:sz w:val="24"/>
          <w:szCs w:val="24"/>
        </w:rPr>
        <w:t xml:space="preserve">PHƯƠNG THỨC NÀO ĐỂ ƯỚC TÍNH NHANH VÀ </w:t>
      </w:r>
    </w:p>
    <w:p w14:paraId="016105D8">
      <w:pPr>
        <w:spacing w:after="40" w:line="288" w:lineRule="auto"/>
        <w:jc w:val="center"/>
      </w:pPr>
      <w:r>
        <w:rPr>
          <w:b/>
          <w:bCs/>
          <w:sz w:val="24"/>
          <w:szCs w:val="24"/>
        </w:rPr>
        <w:t>CẢNH BÁO SỚM MÔ HÌNH TĂNG TRƯỞNG KINH TẾ MỚI PHỤC VỤ ĐIỀU HÀNH</w:t>
      </w:r>
    </w:p>
    <w:p w14:paraId="0229D29D">
      <w:pPr>
        <w:spacing w:before="40" w:after="120" w:line="288" w:lineRule="auto"/>
        <w:jc w:val="both"/>
        <w:rPr>
          <w:sz w:val="28"/>
          <w:szCs w:val="28"/>
        </w:rPr>
      </w:pPr>
    </w:p>
    <w:p w14:paraId="19818BC8">
      <w:pPr>
        <w:spacing w:before="40" w:after="120" w:line="288" w:lineRule="auto"/>
        <w:jc w:val="both"/>
        <w:rPr>
          <w:sz w:val="28"/>
          <w:szCs w:val="28"/>
        </w:rPr>
      </w:pPr>
      <w:r>
        <w:rPr>
          <w:sz w:val="28"/>
          <w:szCs w:val="28"/>
        </w:rPr>
        <w:t>Tên tổ chức đơn vị tham gia ý kiến:</w:t>
      </w:r>
    </w:p>
    <w:p w14:paraId="19DC4638">
      <w:pPr>
        <w:spacing w:before="40" w:after="120" w:line="288" w:lineRule="auto"/>
        <w:jc w:val="both"/>
        <w:rPr>
          <w:sz w:val="28"/>
          <w:szCs w:val="28"/>
        </w:rPr>
      </w:pPr>
      <w:r>
        <w:rPr>
          <w:sz w:val="28"/>
          <w:szCs w:val="28"/>
        </w:rPr>
        <w:t>Họ và tên người tham gia ý kiến:</w:t>
      </w:r>
    </w:p>
    <w:p w14:paraId="327E9345">
      <w:pPr>
        <w:spacing w:before="40" w:after="120" w:line="288" w:lineRule="auto"/>
        <w:jc w:val="both"/>
        <w:rPr>
          <w:sz w:val="28"/>
          <w:szCs w:val="28"/>
        </w:rPr>
      </w:pPr>
      <w:r>
        <w:rPr>
          <w:sz w:val="28"/>
          <w:szCs w:val="28"/>
        </w:rPr>
        <w:t>Số điện thoại liên hệ:</w:t>
      </w:r>
    </w:p>
    <w:tbl>
      <w:tblPr>
        <w:tblStyle w:val="9"/>
        <w:tblW w:w="139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149"/>
        <w:gridCol w:w="6048"/>
        <w:gridCol w:w="5796"/>
      </w:tblGrid>
      <w:tr w14:paraId="3A7F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9"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3CE493BF">
            <w:pPr>
              <w:spacing w:before="20" w:after="20" w:line="264" w:lineRule="auto"/>
            </w:pPr>
          </w:p>
        </w:tc>
        <w:tc>
          <w:tcPr>
            <w:tcW w:w="6048"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2804E822">
            <w:pPr>
              <w:spacing w:before="20" w:after="20" w:line="264" w:lineRule="auto"/>
              <w:jc w:val="both"/>
              <w:rPr>
                <w:sz w:val="24"/>
                <w:szCs w:val="24"/>
              </w:rPr>
            </w:pPr>
          </w:p>
        </w:tc>
        <w:tc>
          <w:tcPr>
            <w:tcW w:w="5796" w:type="dxa"/>
            <w:tcBorders>
              <w:top w:val="single" w:color="000000" w:sz="4" w:space="0"/>
              <w:left w:val="single" w:color="000000" w:sz="4" w:space="0"/>
              <w:bottom w:val="single" w:color="000000" w:sz="4" w:space="0"/>
              <w:right w:val="single" w:color="000000" w:sz="4" w:space="0"/>
            </w:tcBorders>
          </w:tcPr>
          <w:p w14:paraId="5F4A2522">
            <w:pPr>
              <w:spacing w:before="20" w:after="20" w:line="264" w:lineRule="auto"/>
              <w:jc w:val="center"/>
              <w:rPr>
                <w:sz w:val="24"/>
                <w:szCs w:val="24"/>
              </w:rPr>
            </w:pPr>
            <w:r>
              <w:rPr>
                <w:b/>
                <w:bCs/>
                <w:sz w:val="24"/>
                <w:szCs w:val="24"/>
              </w:rPr>
              <w:t>Ý kiến tham gia</w:t>
            </w:r>
          </w:p>
        </w:tc>
      </w:tr>
      <w:tr w14:paraId="77089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9"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48572F12">
            <w:pPr>
              <w:spacing w:before="20" w:after="20" w:line="264" w:lineRule="auto"/>
            </w:pPr>
            <w:r>
              <w:rPr>
                <w:b/>
                <w:bCs/>
                <w:sz w:val="24"/>
                <w:szCs w:val="24"/>
              </w:rPr>
              <w:t>1. Vấn đề</w:t>
            </w:r>
          </w:p>
        </w:tc>
        <w:tc>
          <w:tcPr>
            <w:tcW w:w="6048"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53B59D94">
            <w:pPr>
              <w:pStyle w:val="17"/>
              <w:numPr>
                <w:ilvl w:val="0"/>
                <w:numId w:val="1"/>
              </w:numPr>
              <w:spacing w:before="20" w:after="20" w:line="264" w:lineRule="auto"/>
              <w:jc w:val="both"/>
              <w:rPr>
                <w:sz w:val="24"/>
                <w:szCs w:val="24"/>
              </w:rPr>
            </w:pPr>
            <w:r>
              <w:rPr>
                <w:sz w:val="24"/>
                <w:szCs w:val="24"/>
              </w:rPr>
              <w:t>Số liệu thống kê chính thức chỉ có theo quý, có độ trễ; IOC chưa khai thác sâu cho điều hành kinh tế.</w:t>
            </w:r>
          </w:p>
          <w:p w14:paraId="796B2103">
            <w:pPr>
              <w:pStyle w:val="17"/>
              <w:numPr>
                <w:ilvl w:val="0"/>
                <w:numId w:val="1"/>
              </w:numPr>
              <w:spacing w:before="20" w:after="20" w:line="264" w:lineRule="auto"/>
              <w:jc w:val="both"/>
              <w:rPr>
                <w:sz w:val="24"/>
                <w:szCs w:val="24"/>
              </w:rPr>
            </w:pPr>
            <w:r>
              <w:rPr>
                <w:sz w:val="24"/>
                <w:szCs w:val="24"/>
              </w:rPr>
              <w:t>Công tác dự báo, phân tích, nhận diện điểm nghẽn còn chậm; 9/30 công trình trọng điểm chậm giải phóng mặt bằng, thi công.</w:t>
            </w:r>
          </w:p>
        </w:tc>
        <w:tc>
          <w:tcPr>
            <w:tcW w:w="5796" w:type="dxa"/>
            <w:tcBorders>
              <w:top w:val="single" w:color="000000" w:sz="4" w:space="0"/>
              <w:left w:val="single" w:color="000000" w:sz="4" w:space="0"/>
              <w:bottom w:val="single" w:color="000000" w:sz="4" w:space="0"/>
              <w:right w:val="single" w:color="000000" w:sz="4" w:space="0"/>
            </w:tcBorders>
          </w:tcPr>
          <w:p w14:paraId="1DDE5FA9">
            <w:pPr>
              <w:pStyle w:val="17"/>
              <w:spacing w:before="20" w:after="20" w:line="264" w:lineRule="auto"/>
              <w:ind w:left="200"/>
              <w:rPr>
                <w:sz w:val="24"/>
                <w:szCs w:val="24"/>
              </w:rPr>
            </w:pPr>
          </w:p>
        </w:tc>
      </w:tr>
      <w:tr w14:paraId="79279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9"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204A22E8">
            <w:pPr>
              <w:spacing w:before="20" w:after="20" w:line="264" w:lineRule="auto"/>
            </w:pPr>
            <w:r>
              <w:rPr>
                <w:b/>
                <w:bCs/>
                <w:sz w:val="24"/>
                <w:szCs w:val="24"/>
              </w:rPr>
              <w:t>2. Quy mô (số liệu)</w:t>
            </w:r>
          </w:p>
        </w:tc>
        <w:tc>
          <w:tcPr>
            <w:tcW w:w="6048"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5729E1F1">
            <w:pPr>
              <w:pStyle w:val="17"/>
              <w:numPr>
                <w:ilvl w:val="0"/>
                <w:numId w:val="1"/>
              </w:numPr>
              <w:spacing w:before="20" w:after="20" w:line="264" w:lineRule="auto"/>
              <w:jc w:val="both"/>
              <w:rPr>
                <w:sz w:val="24"/>
                <w:szCs w:val="24"/>
              </w:rPr>
            </w:pPr>
            <w:r>
              <w:rPr>
                <w:sz w:val="24"/>
                <w:szCs w:val="24"/>
              </w:rPr>
              <w:t>GRDP quý III ước tăng 13,09%, 9 tháng tăng 12,08% (đứng thứ 3 cả nước); chỉ số sản xuất công nghiệp tăng 15,23%; thu ngân sách ước 162.173 tỷ đồng.</w:t>
            </w:r>
          </w:p>
          <w:p w14:paraId="7CCDB536">
            <w:pPr>
              <w:pStyle w:val="17"/>
              <w:numPr>
                <w:ilvl w:val="0"/>
                <w:numId w:val="1"/>
              </w:numPr>
              <w:spacing w:before="20" w:after="20" w:line="264" w:lineRule="auto"/>
              <w:jc w:val="both"/>
              <w:rPr>
                <w:sz w:val="24"/>
                <w:szCs w:val="24"/>
              </w:rPr>
            </w:pPr>
            <w:r>
              <w:rPr>
                <w:sz w:val="24"/>
                <w:szCs w:val="24"/>
              </w:rPr>
              <w:t>Nghị quyết số 312/NQ-CP giao kịch bản tăng trưởng quý IV đạt 15,39%, cả năm từ 13% trở lên; quý IV phải tăng cao hơn quý III khoảng 2,3 điểm phần trăm.</w:t>
            </w:r>
          </w:p>
        </w:tc>
        <w:tc>
          <w:tcPr>
            <w:tcW w:w="5796" w:type="dxa"/>
            <w:tcBorders>
              <w:top w:val="single" w:color="000000" w:sz="4" w:space="0"/>
              <w:left w:val="single" w:color="000000" w:sz="4" w:space="0"/>
              <w:bottom w:val="single" w:color="000000" w:sz="4" w:space="0"/>
              <w:right w:val="single" w:color="000000" w:sz="4" w:space="0"/>
            </w:tcBorders>
          </w:tcPr>
          <w:p w14:paraId="7AADD093">
            <w:pPr>
              <w:pStyle w:val="17"/>
              <w:spacing w:before="20" w:after="20" w:line="264" w:lineRule="auto"/>
              <w:ind w:left="200"/>
              <w:rPr>
                <w:sz w:val="24"/>
                <w:szCs w:val="24"/>
              </w:rPr>
            </w:pPr>
          </w:p>
        </w:tc>
      </w:tr>
      <w:tr w14:paraId="3CB9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9"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7DD633BA">
            <w:pPr>
              <w:spacing w:before="20" w:after="20" w:line="264" w:lineRule="auto"/>
            </w:pPr>
            <w:r>
              <w:rPr>
                <w:b/>
                <w:bCs/>
                <w:sz w:val="24"/>
                <w:szCs w:val="24"/>
              </w:rPr>
              <w:t>3. Câu hỏi KHCN</w:t>
            </w:r>
          </w:p>
        </w:tc>
        <w:tc>
          <w:tcPr>
            <w:tcW w:w="6048"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1D8B5B3C">
            <w:pPr>
              <w:pStyle w:val="17"/>
              <w:numPr>
                <w:ilvl w:val="0"/>
                <w:numId w:val="1"/>
              </w:numPr>
              <w:spacing w:before="20" w:after="20" w:line="264" w:lineRule="auto"/>
              <w:jc w:val="both"/>
              <w:rPr>
                <w:sz w:val="24"/>
                <w:szCs w:val="24"/>
              </w:rPr>
            </w:pPr>
            <w:r>
              <w:rPr>
                <w:sz w:val="24"/>
                <w:szCs w:val="24"/>
              </w:rPr>
              <w:t>(1) Tổ hợp dữ liệu thay thế nào (hóa đơn điện tử, điện năng tại KCN, hàng qua cảng, hải quan, thu ngân sách, giải ngân Kho bạc) dự báo tốt nhất GRDP, IIP theo tháng?</w:t>
            </w:r>
          </w:p>
          <w:p w14:paraId="0637DF99">
            <w:pPr>
              <w:pStyle w:val="17"/>
              <w:numPr>
                <w:ilvl w:val="0"/>
                <w:numId w:val="1"/>
              </w:numPr>
              <w:spacing w:before="20" w:after="20" w:line="264" w:lineRule="auto"/>
              <w:jc w:val="both"/>
              <w:rPr>
                <w:sz w:val="24"/>
                <w:szCs w:val="24"/>
              </w:rPr>
            </w:pPr>
            <w:r>
              <w:rPr>
                <w:sz w:val="24"/>
                <w:szCs w:val="24"/>
              </w:rPr>
              <w:t>(2) Mô hình nowcasting, học máy nào đạt sai số chấp nhận được với chuỗi số liệu ngắn sau hợp nhất Hải Phòng – Hải Dương?</w:t>
            </w:r>
          </w:p>
          <w:p w14:paraId="2889990C">
            <w:pPr>
              <w:pStyle w:val="17"/>
              <w:numPr>
                <w:ilvl w:val="0"/>
                <w:numId w:val="1"/>
              </w:numPr>
              <w:spacing w:before="20" w:after="20" w:line="264" w:lineRule="auto"/>
              <w:jc w:val="both"/>
              <w:rPr>
                <w:sz w:val="24"/>
                <w:szCs w:val="24"/>
              </w:rPr>
            </w:pPr>
            <w:r>
              <w:rPr>
                <w:sz w:val="24"/>
                <w:szCs w:val="24"/>
              </w:rPr>
              <w:t>(3) Phương pháp nào phát hiện sớm dự án lệch đường găng tiến độ, giải ngân?</w:t>
            </w:r>
          </w:p>
          <w:p w14:paraId="41C11822">
            <w:pPr>
              <w:pStyle w:val="17"/>
              <w:numPr>
                <w:ilvl w:val="0"/>
                <w:numId w:val="1"/>
              </w:numPr>
              <w:spacing w:before="20" w:after="20" w:line="264" w:lineRule="auto"/>
              <w:jc w:val="both"/>
              <w:rPr>
                <w:sz w:val="24"/>
                <w:szCs w:val="24"/>
              </w:rPr>
            </w:pPr>
            <w:r>
              <w:rPr>
                <w:sz w:val="24"/>
                <w:szCs w:val="24"/>
              </w:rPr>
              <w:t>(4) Kết nối, chia sẻ dữ liệu liên ngành an toàn qua LGSP như thế nào?</w:t>
            </w:r>
          </w:p>
          <w:p w14:paraId="27C7A1BA">
            <w:pPr>
              <w:pStyle w:val="17"/>
              <w:numPr>
                <w:ilvl w:val="0"/>
                <w:numId w:val="1"/>
              </w:numPr>
              <w:spacing w:before="20" w:after="20" w:line="264" w:lineRule="auto"/>
              <w:jc w:val="both"/>
              <w:rPr>
                <w:sz w:val="24"/>
                <w:szCs w:val="24"/>
              </w:rPr>
            </w:pPr>
            <w:r>
              <w:rPr>
                <w:sz w:val="24"/>
                <w:szCs w:val="24"/>
              </w:rPr>
              <w:t>(5) Để đạt kịch bản 15,39% quý IV, mỗi tháng, mỗi ngành cần đóng góp bao nhiêu; chỉ báo dẫn nào cảnh báo sớm nguy cơ hụt kịch bản?</w:t>
            </w:r>
          </w:p>
        </w:tc>
        <w:tc>
          <w:tcPr>
            <w:tcW w:w="5796" w:type="dxa"/>
            <w:tcBorders>
              <w:top w:val="single" w:color="000000" w:sz="4" w:space="0"/>
              <w:left w:val="single" w:color="000000" w:sz="4" w:space="0"/>
              <w:bottom w:val="single" w:color="000000" w:sz="4" w:space="0"/>
              <w:right w:val="single" w:color="000000" w:sz="4" w:space="0"/>
            </w:tcBorders>
          </w:tcPr>
          <w:p w14:paraId="30941A16">
            <w:pPr>
              <w:pStyle w:val="17"/>
              <w:spacing w:before="20" w:after="20" w:line="264" w:lineRule="auto"/>
              <w:ind w:left="200"/>
              <w:rPr>
                <w:sz w:val="24"/>
                <w:szCs w:val="24"/>
              </w:rPr>
            </w:pPr>
          </w:p>
        </w:tc>
      </w:tr>
      <w:tr w14:paraId="0A6D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9"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37BD6FA5">
            <w:pPr>
              <w:spacing w:before="20" w:after="20" w:line="264" w:lineRule="auto"/>
            </w:pPr>
            <w:r>
              <w:rPr>
                <w:b/>
                <w:bCs/>
                <w:sz w:val="24"/>
                <w:szCs w:val="24"/>
              </w:rPr>
              <w:t>4. Sản phẩm, ngành nghề mới</w:t>
            </w:r>
          </w:p>
        </w:tc>
        <w:tc>
          <w:tcPr>
            <w:tcW w:w="6048"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7970E701">
            <w:pPr>
              <w:pStyle w:val="17"/>
              <w:numPr>
                <w:ilvl w:val="0"/>
                <w:numId w:val="1"/>
              </w:numPr>
              <w:spacing w:before="20" w:after="20" w:line="264" w:lineRule="auto"/>
              <w:jc w:val="both"/>
              <w:rPr>
                <w:sz w:val="24"/>
                <w:szCs w:val="24"/>
              </w:rPr>
            </w:pPr>
            <w:r>
              <w:rPr>
                <w:sz w:val="24"/>
                <w:szCs w:val="24"/>
              </w:rPr>
              <w:t>Sản phẩm: mô hình ước tính GRDP, IIP hằng tháng; bảng điều hành kịch bản tăng trưởng tích hợp IOC, HPnet; hệ thống cảnh báo sớm công trình trọng điểm, dự án hạ tầng KCN; giai đoạn đầu (quý IV/2026): bảng theo dõi kịch bản tăng trưởng quý IV.</w:t>
            </w:r>
          </w:p>
          <w:p w14:paraId="7B5AF7F0">
            <w:pPr>
              <w:pStyle w:val="17"/>
              <w:numPr>
                <w:ilvl w:val="0"/>
                <w:numId w:val="1"/>
              </w:numPr>
              <w:spacing w:before="20" w:after="20" w:line="264" w:lineRule="auto"/>
              <w:jc w:val="both"/>
              <w:rPr>
                <w:sz w:val="24"/>
                <w:szCs w:val="24"/>
              </w:rPr>
            </w:pPr>
            <w:r>
              <w:rPr>
                <w:sz w:val="24"/>
                <w:szCs w:val="24"/>
              </w:rPr>
              <w:t>Ngành nghề mới: dịch vụ phân tích dữ liệu, dự báo kinh tế ứng dụng AI, dữ liệu lớn.</w:t>
            </w:r>
          </w:p>
        </w:tc>
        <w:tc>
          <w:tcPr>
            <w:tcW w:w="5796" w:type="dxa"/>
            <w:tcBorders>
              <w:top w:val="single" w:color="000000" w:sz="4" w:space="0"/>
              <w:left w:val="single" w:color="000000" w:sz="4" w:space="0"/>
              <w:bottom w:val="single" w:color="000000" w:sz="4" w:space="0"/>
              <w:right w:val="single" w:color="000000" w:sz="4" w:space="0"/>
            </w:tcBorders>
          </w:tcPr>
          <w:p w14:paraId="6BE6A5A6">
            <w:pPr>
              <w:pStyle w:val="17"/>
              <w:spacing w:before="20" w:after="20" w:line="264" w:lineRule="auto"/>
              <w:ind w:left="200"/>
              <w:rPr>
                <w:sz w:val="24"/>
                <w:szCs w:val="24"/>
              </w:rPr>
            </w:pPr>
          </w:p>
        </w:tc>
      </w:tr>
      <w:tr w14:paraId="177F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9"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3186FFEC">
            <w:pPr>
              <w:spacing w:before="20" w:after="20" w:line="264" w:lineRule="auto"/>
            </w:pPr>
            <w:r>
              <w:rPr>
                <w:b/>
                <w:bCs/>
                <w:sz w:val="24"/>
                <w:szCs w:val="24"/>
              </w:rPr>
              <w:t>5. Giá trị kinh tế ước tính</w:t>
            </w:r>
          </w:p>
        </w:tc>
        <w:tc>
          <w:tcPr>
            <w:tcW w:w="6048"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2C5C5A07">
            <w:pPr>
              <w:pStyle w:val="17"/>
              <w:numPr>
                <w:ilvl w:val="0"/>
                <w:numId w:val="1"/>
              </w:numPr>
              <w:spacing w:before="20" w:after="20" w:line="264" w:lineRule="auto"/>
              <w:jc w:val="both"/>
              <w:rPr>
                <w:sz w:val="24"/>
                <w:szCs w:val="24"/>
              </w:rPr>
            </w:pPr>
            <w:r>
              <w:rPr>
                <w:sz w:val="24"/>
                <w:szCs w:val="24"/>
              </w:rPr>
              <w:t xml:space="preserve">Đề xuất chỉ tiêu: rút độ trễ thông tin tăng trưởng từ theo quý xuống hằng tháng; sai số ước tính GRDP ≤ 0,5 điểm phần trăm; cảnh báo sớm 100% trong 30 công trình trọng điểm. </w:t>
            </w:r>
          </w:p>
          <w:p w14:paraId="72B5E3B3">
            <w:pPr>
              <w:pStyle w:val="17"/>
              <w:numPr>
                <w:ilvl w:val="0"/>
                <w:numId w:val="1"/>
              </w:numPr>
              <w:spacing w:before="20" w:after="20" w:line="264" w:lineRule="auto"/>
              <w:jc w:val="both"/>
              <w:rPr>
                <w:sz w:val="24"/>
                <w:szCs w:val="24"/>
              </w:rPr>
            </w:pPr>
            <w:r>
              <w:rPr>
                <w:sz w:val="24"/>
                <w:szCs w:val="24"/>
              </w:rPr>
              <w:t xml:space="preserve">Giá trị thương mại: mô hình có thể chuyển giao cho ngân hàng, DN, địa phương khác; </w:t>
            </w:r>
          </w:p>
        </w:tc>
        <w:tc>
          <w:tcPr>
            <w:tcW w:w="5796" w:type="dxa"/>
            <w:tcBorders>
              <w:top w:val="single" w:color="000000" w:sz="4" w:space="0"/>
              <w:left w:val="single" w:color="000000" w:sz="4" w:space="0"/>
              <w:bottom w:val="single" w:color="000000" w:sz="4" w:space="0"/>
              <w:right w:val="single" w:color="000000" w:sz="4" w:space="0"/>
            </w:tcBorders>
          </w:tcPr>
          <w:p w14:paraId="46ED450F">
            <w:pPr>
              <w:spacing w:before="20" w:after="20" w:line="264" w:lineRule="auto"/>
              <w:rPr>
                <w:i/>
                <w:iCs/>
                <w:sz w:val="24"/>
                <w:szCs w:val="24"/>
                <w:highlight w:val="yellow"/>
              </w:rPr>
            </w:pPr>
          </w:p>
        </w:tc>
      </w:tr>
    </w:tbl>
    <w:p w14:paraId="0601997D">
      <w:pPr>
        <w:rPr>
          <w:lang w:val="vi-VN"/>
        </w:rPr>
      </w:pPr>
    </w:p>
    <w:sectPr>
      <w:footerReference r:id="rId3" w:type="default"/>
      <w:pgSz w:w="16838" w:h="11906" w:orient="landscape"/>
      <w:pgMar w:top="1134" w:right="1134" w:bottom="1134" w:left="1701" w:header="709" w:footer="709"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F1021">
    <w:pPr>
      <w:jc w:val="center"/>
    </w:pPr>
    <w:r>
      <w:rPr>
        <w:sz w:val="20"/>
        <w:szCs w:val="20"/>
      </w:rPr>
      <w:fldChar w:fldCharType="begin"/>
    </w:r>
    <w:r>
      <w:rPr>
        <w:sz w:val="20"/>
        <w:szCs w:val="20"/>
      </w:rPr>
      <w:instrText xml:space="preserve">PAGE</w:instrText>
    </w:r>
    <w:r>
      <w:rPr>
        <w:sz w:val="20"/>
        <w:szCs w:val="20"/>
      </w:rPr>
      <w:fldChar w:fldCharType="separate"/>
    </w:r>
    <w:r>
      <w:rPr>
        <w:sz w:val="20"/>
        <w:szCs w:val="20"/>
      </w:rPr>
      <w:t>1</w:t>
    </w:r>
    <w:r>
      <w:rPr>
        <w:sz w:val="20"/>
        <w:szCs w:val="20"/>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2C261B"/>
    <w:multiLevelType w:val="multilevel"/>
    <w:tmpl w:val="082C261B"/>
    <w:lvl w:ilvl="0" w:tentative="0">
      <w:start w:val="1"/>
      <w:numFmt w:val="bullet"/>
      <w:lvlText w:val="-"/>
      <w:lvlJc w:val="left"/>
      <w:pPr>
        <w:ind w:left="200" w:hanging="1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6DE"/>
    <w:rsid w:val="000435D4"/>
    <w:rsid w:val="00183E11"/>
    <w:rsid w:val="002663EC"/>
    <w:rsid w:val="00286DAE"/>
    <w:rsid w:val="002B4E28"/>
    <w:rsid w:val="00343DD0"/>
    <w:rsid w:val="00346A76"/>
    <w:rsid w:val="00392CC3"/>
    <w:rsid w:val="003B19AB"/>
    <w:rsid w:val="003F5A95"/>
    <w:rsid w:val="00494FA4"/>
    <w:rsid w:val="005055D7"/>
    <w:rsid w:val="00532716"/>
    <w:rsid w:val="0065198E"/>
    <w:rsid w:val="006E11BE"/>
    <w:rsid w:val="00771626"/>
    <w:rsid w:val="008B5A22"/>
    <w:rsid w:val="00925B6F"/>
    <w:rsid w:val="00AB345D"/>
    <w:rsid w:val="00B01FA7"/>
    <w:rsid w:val="00C25265"/>
    <w:rsid w:val="00C80571"/>
    <w:rsid w:val="00C94D53"/>
    <w:rsid w:val="00CA04D7"/>
    <w:rsid w:val="00CC443D"/>
    <w:rsid w:val="00CF4C27"/>
    <w:rsid w:val="00D702A2"/>
    <w:rsid w:val="00DF2AB9"/>
    <w:rsid w:val="00EA0556"/>
    <w:rsid w:val="00EE3E76"/>
    <w:rsid w:val="00F816DE"/>
    <w:rsid w:val="00FB139E"/>
    <w:rsid w:val="00FE1644"/>
    <w:rsid w:val="1CF70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6"/>
      <w:szCs w:val="26"/>
      <w:lang w:val="en-US" w:eastAsia="en-US" w:bidi="ar-SA"/>
    </w:rPr>
  </w:style>
  <w:style w:type="paragraph" w:styleId="2">
    <w:name w:val="heading 1"/>
    <w:qFormat/>
    <w:uiPriority w:val="9"/>
    <w:pPr>
      <w:outlineLvl w:val="0"/>
    </w:pPr>
    <w:rPr>
      <w:rFonts w:ascii="Times New Roman" w:hAnsi="Times New Roman" w:eastAsia="Times New Roman" w:cs="Times New Roman"/>
      <w:color w:val="2E74B5"/>
      <w:sz w:val="32"/>
      <w:szCs w:val="32"/>
      <w:lang w:val="en-US" w:eastAsia="en-US" w:bidi="ar-SA"/>
    </w:rPr>
  </w:style>
  <w:style w:type="paragraph" w:styleId="3">
    <w:name w:val="heading 2"/>
    <w:semiHidden/>
    <w:unhideWhenUsed/>
    <w:qFormat/>
    <w:uiPriority w:val="9"/>
    <w:pPr>
      <w:outlineLvl w:val="1"/>
    </w:pPr>
    <w:rPr>
      <w:rFonts w:ascii="Times New Roman" w:hAnsi="Times New Roman" w:eastAsia="Times New Roman" w:cs="Times New Roman"/>
      <w:color w:val="2E74B5"/>
      <w:sz w:val="26"/>
      <w:szCs w:val="26"/>
      <w:lang w:val="en-US" w:eastAsia="en-US" w:bidi="ar-SA"/>
    </w:rPr>
  </w:style>
  <w:style w:type="paragraph" w:styleId="4">
    <w:name w:val="heading 3"/>
    <w:semiHidden/>
    <w:unhideWhenUsed/>
    <w:qFormat/>
    <w:uiPriority w:val="9"/>
    <w:pPr>
      <w:outlineLvl w:val="2"/>
    </w:pPr>
    <w:rPr>
      <w:rFonts w:ascii="Times New Roman" w:hAnsi="Times New Roman" w:eastAsia="Times New Roman" w:cs="Times New Roman"/>
      <w:color w:val="1F4D78"/>
      <w:sz w:val="24"/>
      <w:szCs w:val="24"/>
      <w:lang w:val="en-US" w:eastAsia="en-US" w:bidi="ar-SA"/>
    </w:rPr>
  </w:style>
  <w:style w:type="paragraph" w:styleId="5">
    <w:name w:val="heading 4"/>
    <w:semiHidden/>
    <w:unhideWhenUsed/>
    <w:qFormat/>
    <w:uiPriority w:val="9"/>
    <w:pPr>
      <w:outlineLvl w:val="3"/>
    </w:pPr>
    <w:rPr>
      <w:rFonts w:ascii="Times New Roman" w:hAnsi="Times New Roman" w:eastAsia="Times New Roman" w:cs="Times New Roman"/>
      <w:i/>
      <w:iCs/>
      <w:color w:val="2E74B5"/>
      <w:sz w:val="26"/>
      <w:szCs w:val="26"/>
      <w:lang w:val="en-US" w:eastAsia="en-US" w:bidi="ar-SA"/>
    </w:rPr>
  </w:style>
  <w:style w:type="paragraph" w:styleId="6">
    <w:name w:val="heading 5"/>
    <w:semiHidden/>
    <w:unhideWhenUsed/>
    <w:qFormat/>
    <w:uiPriority w:val="9"/>
    <w:pPr>
      <w:outlineLvl w:val="4"/>
    </w:pPr>
    <w:rPr>
      <w:rFonts w:ascii="Times New Roman" w:hAnsi="Times New Roman" w:eastAsia="Times New Roman" w:cs="Times New Roman"/>
      <w:color w:val="2E74B5"/>
      <w:sz w:val="26"/>
      <w:szCs w:val="26"/>
      <w:lang w:val="en-US" w:eastAsia="en-US" w:bidi="ar-SA"/>
    </w:rPr>
  </w:style>
  <w:style w:type="paragraph" w:styleId="7">
    <w:name w:val="heading 6"/>
    <w:semiHidden/>
    <w:unhideWhenUsed/>
    <w:qFormat/>
    <w:uiPriority w:val="9"/>
    <w:pPr>
      <w:outlineLvl w:val="5"/>
    </w:pPr>
    <w:rPr>
      <w:rFonts w:ascii="Times New Roman" w:hAnsi="Times New Roman" w:eastAsia="Times New Roman" w:cs="Times New Roman"/>
      <w:color w:val="1F4D78"/>
      <w:sz w:val="26"/>
      <w:szCs w:val="26"/>
      <w:lang w:val="en-US" w:eastAsia="en-US" w:bidi="ar-SA"/>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9"/>
    <w:semiHidden/>
    <w:unhideWhenUsed/>
    <w:uiPriority w:val="99"/>
    <w:rPr>
      <w:rFonts w:ascii="Times New Roman" w:hAnsi="Times New Roman" w:eastAsia="Times New Roman" w:cs="Times New Roman"/>
      <w:sz w:val="20"/>
      <w:szCs w:val="20"/>
      <w:lang w:val="en-US" w:eastAsia="en-US" w:bidi="ar-SA"/>
    </w:rPr>
  </w:style>
  <w:style w:type="character" w:styleId="12">
    <w:name w:val="footnote reference"/>
    <w:semiHidden/>
    <w:unhideWhenUsed/>
    <w:qFormat/>
    <w:uiPriority w:val="99"/>
    <w:rPr>
      <w:vertAlign w:val="superscript"/>
    </w:rPr>
  </w:style>
  <w:style w:type="paragraph" w:styleId="13">
    <w:name w:val="footnote text"/>
    <w:link w:val="18"/>
    <w:semiHidden/>
    <w:unhideWhenUsed/>
    <w:qFormat/>
    <w:uiPriority w:val="99"/>
    <w:rPr>
      <w:rFonts w:ascii="Times New Roman" w:hAnsi="Times New Roman" w:eastAsia="Times New Roman" w:cs="Times New Roman"/>
      <w:sz w:val="20"/>
      <w:szCs w:val="20"/>
      <w:lang w:val="en-US" w:eastAsia="en-US" w:bidi="ar-SA"/>
    </w:rPr>
  </w:style>
  <w:style w:type="character" w:styleId="14">
    <w:name w:val="Hyperlink"/>
    <w:unhideWhenUsed/>
    <w:qFormat/>
    <w:uiPriority w:val="99"/>
    <w:rPr>
      <w:color w:val="0563C1"/>
      <w:u w:val="single"/>
    </w:rPr>
  </w:style>
  <w:style w:type="paragraph" w:styleId="15">
    <w:name w:val="Title"/>
    <w:qFormat/>
    <w:uiPriority w:val="10"/>
    <w:rPr>
      <w:rFonts w:ascii="Times New Roman" w:hAnsi="Times New Roman" w:eastAsia="Times New Roman" w:cs="Times New Roman"/>
      <w:sz w:val="56"/>
      <w:szCs w:val="56"/>
      <w:lang w:val="en-US" w:eastAsia="en-US" w:bidi="ar-SA"/>
    </w:rPr>
  </w:style>
  <w:style w:type="paragraph" w:customStyle="1" w:styleId="16">
    <w:name w:val="Strong1"/>
    <w:qFormat/>
    <w:uiPriority w:val="0"/>
    <w:rPr>
      <w:rFonts w:ascii="Times New Roman" w:hAnsi="Times New Roman" w:eastAsia="Times New Roman" w:cs="Times New Roman"/>
      <w:b/>
      <w:bCs/>
      <w:sz w:val="26"/>
      <w:szCs w:val="26"/>
      <w:lang w:val="en-US" w:eastAsia="en-US" w:bidi="ar-SA"/>
    </w:rPr>
  </w:style>
  <w:style w:type="paragraph" w:styleId="17">
    <w:name w:val="List Paragraph"/>
    <w:qFormat/>
    <w:uiPriority w:val="0"/>
    <w:rPr>
      <w:rFonts w:ascii="Times New Roman" w:hAnsi="Times New Roman" w:eastAsia="Times New Roman" w:cs="Times New Roman"/>
      <w:sz w:val="26"/>
      <w:szCs w:val="26"/>
      <w:lang w:val="en-US" w:eastAsia="en-US" w:bidi="ar-SA"/>
    </w:rPr>
  </w:style>
  <w:style w:type="character" w:customStyle="1" w:styleId="18">
    <w:name w:val="Footnote Text Char"/>
    <w:link w:val="13"/>
    <w:semiHidden/>
    <w:unhideWhenUsed/>
    <w:qFormat/>
    <w:uiPriority w:val="99"/>
    <w:rPr>
      <w:sz w:val="20"/>
      <w:szCs w:val="20"/>
    </w:rPr>
  </w:style>
  <w:style w:type="character" w:customStyle="1" w:styleId="19">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435</Words>
  <Characters>1578</Characters>
  <Lines>14</Lines>
  <Paragraphs>4</Paragraphs>
  <TotalTime>2</TotalTime>
  <ScaleCrop>false</ScaleCrop>
  <LinksUpToDate>false</LinksUpToDate>
  <CharactersWithSpaces>1993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2026-10-15T11:02:00Z</dcterms:created>
  <dc:creator>Un-named</dc:creator>
  <cp:lastModifiedBy>PC Nhung</cp:lastModifiedBy>
  <dcterms:modified xsi:type="dcterms:W3CDTF">2026-10-16T08:06:48Z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2026-10-15T10:07:54Z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4c604c23-db45-4730-9f25-8faa108b6403</vt:lpwstr>
  </property>
  <property fmtid="{D5CDD505-2E9C-101B-9397-08002B2CF9AE}" pid="7" name="MSIP_Label_defa4170-0d19-0005-0004-bc88714345d2_ActionId">
    <vt:lpwstr>de97792a-b9a3-4c20-b557-630b1de40fd7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KSOProductBuildVer">
    <vt:lpwstr>1033-12.1.0.29162</vt:lpwstr>
  </property>
  <property fmtid="{D5CDD505-2E9C-101B-9397-08002B2CF9AE}" pid="11" name="ICV">
    <vt:lpwstr>FE9B2DB7E45D433C9433ADF4EEE4A5B9_13</vt:lpwstr>
  </property>
</Properties>
</file>